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8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6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@[toc]</w:t>
      </w:r>
    </w:p>
    <w:p>
      <w:pPr>
        <w:pStyle w:val="Heading1"/>
      </w:pPr>
      <w:bookmarkStart w:id="21" w:name="知识总览思维导图"/>
      <w:bookmarkEnd w:id="21"/>
      <w:r>
        <w:t xml:space="preserve">知识总览思维导图</w:t>
      </w:r>
    </w:p>
    <w:p>
      <w:pPr>
        <w:pStyle w:val="FirstParagraph"/>
      </w:pPr>
      <w:r>
        <w:drawing>
          <wp:inline>
            <wp:extent cx="5334000" cy="267458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8081735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4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本节属于交互知识点</w:t>
      </w:r>
      <w:r>
        <w:br w:type="textWrapping"/>
      </w:r>
      <w:hyperlink r:id="rId25">
        <w:r>
          <w:rPr>
            <w:rStyle w:val="Hyperlink"/>
          </w:rPr>
          <w:t xml:space="preserve">对比链接</w:t>
        </w:r>
      </w:hyperlink>
      <w:r>
        <w:br w:type="textWrapping"/>
      </w:r>
      <w:r>
        <w:drawing>
          <wp:inline>
            <wp:extent cx="5334000" cy="253620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18133640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6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/>
      </w:r>
    </w:p>
    <w:p>
      <w:pPr>
        <w:pStyle w:val="Heading2"/>
      </w:pPr>
      <w:bookmarkStart w:id="29" w:name="什么是i-o设备"/>
      <w:bookmarkEnd w:id="29"/>
      <w:r>
        <w:t xml:space="preserve">什么是I/ O设备</w:t>
      </w:r>
    </w:p>
    <w:p>
      <w:pPr>
        <w:numPr>
          <w:numId w:val="1001"/>
          <w:ilvl w:val="0"/>
        </w:numPr>
      </w:pPr>
      <w:r>
        <w:t xml:space="preserve">I/O设备就是可以将数据输入到计算机，或者可以接收计算机输出数据的外部设备，属于计算机中硬件部件。</w:t>
      </w:r>
    </w:p>
    <w:p>
      <w:pPr>
        <w:numPr>
          <w:numId w:val="1001"/>
          <w:ilvl w:val="0"/>
        </w:numPr>
      </w:pPr>
      <w:r>
        <w:t xml:space="preserve">UNIX系统将外部设备抽象为一种特殊的文件，用户可以使用与文件操作相同的方式对外部设备进行操作。</w:t>
      </w:r>
    </w:p>
    <w:p>
      <w:pPr>
        <w:numPr>
          <w:numId w:val="1001"/>
          <w:ilvl w:val="0"/>
        </w:numPr>
      </w:pPr>
      <w:r>
        <w:rPr>
          <w:rStyle w:val="VerbatimChar"/>
        </w:rPr>
        <w:t xml:space="preserve">Write操作</w:t>
      </w:r>
      <w:r>
        <w:t xml:space="preserve">：向外部设备写出数据</w:t>
      </w:r>
    </w:p>
    <w:p>
      <w:pPr>
        <w:numPr>
          <w:numId w:val="1001"/>
          <w:ilvl w:val="0"/>
        </w:numPr>
      </w:pPr>
      <w:r>
        <w:rPr>
          <w:rStyle w:val="VerbatimChar"/>
        </w:rPr>
        <w:t xml:space="preserve">Read操作</w:t>
      </w:r>
      <w:r>
        <w:t xml:space="preserve">：从外部设备读入数据</w:t>
      </w:r>
    </w:p>
    <w:p>
      <w:pPr>
        <w:pStyle w:val="Heading2"/>
      </w:pPr>
      <w:bookmarkStart w:id="30" w:name="io设备的分类一一按使用特性"/>
      <w:bookmarkEnd w:id="30"/>
      <w:r>
        <w:t xml:space="preserve">I/O设备的分类一一按使用特性</w:t>
      </w:r>
    </w:p>
    <w:p>
      <w:pPr>
        <w:pStyle w:val="FigureWithCaption"/>
      </w:pPr>
      <w:r>
        <w:drawing>
          <wp:inline>
            <wp:extent cx="5334000" cy="11530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21281399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3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2"/>
          <w:ilvl w:val="0"/>
        </w:numPr>
      </w:pPr>
      <w:r>
        <w:t xml:space="preserve">人机交互类外设：鼠标、键盘打印机等一一用于人机交互</w:t>
      </w:r>
    </w:p>
    <w:p>
      <w:pPr>
        <w:numPr>
          <w:numId w:val="1002"/>
          <w:ilvl w:val="0"/>
        </w:numPr>
      </w:pPr>
      <w:r>
        <w:t xml:space="preserve">存储设备：移动硬盘、光盘等一一用于数据存储</w:t>
      </w:r>
    </w:p>
    <w:p>
      <w:pPr>
        <w:numPr>
          <w:numId w:val="1002"/>
          <w:ilvl w:val="0"/>
        </w:numPr>
      </w:pPr>
      <w:r>
        <w:t xml:space="preserve">网络通信设备：调制解调器等一一用于网络通信</w:t>
      </w:r>
    </w:p>
    <w:p>
      <w:pPr>
        <w:pStyle w:val="Heading2"/>
      </w:pPr>
      <w:bookmarkStart w:id="34" w:name="io设备的分类一一按传输速率分类"/>
      <w:bookmarkEnd w:id="34"/>
      <w:r>
        <w:t xml:space="preserve">I/O设备的分类一一按传输速率分类</w:t>
      </w:r>
    </w:p>
    <w:p>
      <w:pPr>
        <w:pStyle w:val="FigureWithCaption"/>
      </w:pPr>
      <w:r>
        <w:drawing>
          <wp:inline>
            <wp:extent cx="5334000" cy="16693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21355798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9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3"/>
          <w:ilvl w:val="0"/>
        </w:numPr>
      </w:pPr>
      <w:r>
        <w:t xml:space="preserve">低速设备：鼠标、键盘等一一传输速率为每秒几个到几百字节</w:t>
      </w:r>
    </w:p>
    <w:p>
      <w:pPr>
        <w:numPr>
          <w:numId w:val="1003"/>
          <w:ilvl w:val="0"/>
        </w:numPr>
      </w:pPr>
      <w:r>
        <w:t xml:space="preserve">中速设备：如激光打印机等一一传输速率为每秒数千至上万个字节</w:t>
      </w:r>
    </w:p>
    <w:p>
      <w:pPr>
        <w:numPr>
          <w:numId w:val="1003"/>
          <w:ilvl w:val="0"/>
        </w:numPr>
      </w:pPr>
      <w:r>
        <w:t xml:space="preserve">高速设备：如磁盘等传输速率为每秒数千字节至千兆字节的设备</w:t>
      </w:r>
    </w:p>
    <w:p>
      <w:pPr>
        <w:pStyle w:val="Heading2"/>
      </w:pPr>
      <w:bookmarkStart w:id="38" w:name="io设备的分类一一按信息交换的单位分类"/>
      <w:bookmarkEnd w:id="38"/>
      <w:r>
        <w:t xml:space="preserve">I/O设备的分类一一按信息交换的单位分类</w:t>
      </w:r>
    </w:p>
    <w:p>
      <w:pPr>
        <w:pStyle w:val="FigureWithCaption"/>
      </w:pPr>
      <w:r>
        <w:drawing>
          <wp:inline>
            <wp:extent cx="5334000" cy="1004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21371862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4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4"/>
          <w:ilvl w:val="0"/>
        </w:numPr>
      </w:pPr>
      <w:r>
        <w:t xml:space="preserve">块设备：如磁盘等一一数据传输的基本单位是“块"</w:t>
      </w:r>
    </w:p>
    <w:p>
      <w:pPr>
        <w:numPr>
          <w:numId w:val="1004"/>
          <w:ilvl w:val="0"/>
        </w:numPr>
      </w:pPr>
      <w:r>
        <w:t xml:space="preserve">字符设备：鼠标、键盘等一一数据传输的基本单位是字符</w:t>
      </w:r>
      <w:r>
        <w:br w:type="textWrapping"/>
      </w:r>
      <w:r>
        <w:drawing>
          <wp:inline>
            <wp:extent cx="5334000" cy="244404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521394213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4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总结思维导图-1"/>
      <w:bookmarkEnd w:id="45"/>
      <w:r>
        <w:t xml:space="preserve">总结思维导图</w:t>
      </w:r>
    </w:p>
    <w:p>
      <w:pPr>
        <w:pStyle w:val="FigureWithCaption"/>
      </w:pPr>
      <w:r>
        <w:drawing>
          <wp:inline>
            <wp:extent cx="5334000" cy="24440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21580634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4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9" w:name="i-o控制器"/>
      <w:bookmarkEnd w:id="49"/>
      <w:r>
        <w:t xml:space="preserve">I /O控制器</w:t>
      </w:r>
    </w:p>
    <w:p>
      <w:pPr>
        <w:pStyle w:val="FigureWithCaption"/>
      </w:pPr>
      <w:r>
        <w:drawing>
          <wp:inline>
            <wp:extent cx="5334000" cy="16981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521585450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8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5"/>
          <w:ilvl w:val="0"/>
        </w:numPr>
      </w:pPr>
      <w:r>
        <w:t xml:space="preserve">I /O设备的</w:t>
      </w:r>
      <w:r>
        <w:rPr>
          <w:shd w:val="clear" w:fill="ffff00"/>
        </w:rPr>
        <w:t>机械部件</w:t>
      </w:r>
      <w:r>
        <w:t xml:space="preserve">主要用来执行具体I /O操作。</w:t>
      </w:r>
    </w:p>
    <w:p>
      <w:pPr>
        <w:numPr>
          <w:numId w:val="1005"/>
          <w:ilvl w:val="0"/>
        </w:numPr>
      </w:pPr>
      <w:r>
        <w:t xml:space="preserve">如我们看得见摸得着的鼠标/键盘的按钮；显示器的LED屏；移动硬盘的磁臂、磁盘盘面。</w:t>
      </w:r>
    </w:p>
    <w:p>
      <w:pPr>
        <w:numPr>
          <w:numId w:val="1005"/>
          <w:ilvl w:val="0"/>
        </w:numPr>
      </w:pPr>
      <w:r>
        <w:t xml:space="preserve">I/ O设备的</w:t>
      </w:r>
      <w:r>
        <w:rPr>
          <w:shd w:val="clear" w:fill="ffff00"/>
        </w:rPr>
        <w:t>电子部件</w:t>
      </w:r>
      <w:r>
        <w:t xml:space="preserve">通常是一块插入主板扩充槽的印刷电路板。</w:t>
      </w:r>
    </w:p>
    <w:p>
      <w:pPr>
        <w:pStyle w:val="Heading2"/>
      </w:pPr>
      <w:bookmarkStart w:id="53" w:name="io设备的电子部件io控制器）"/>
      <w:bookmarkEnd w:id="53"/>
      <w:r>
        <w:t xml:space="preserve">I/O设备的电子部件（I/O控制器）</w:t>
      </w:r>
    </w:p>
    <w:p>
      <w:pPr>
        <w:numPr>
          <w:numId w:val="1006"/>
          <w:ilvl w:val="0"/>
        </w:numPr>
      </w:pPr>
      <w:r>
        <w:t xml:space="preserve">CPU无法直接控制I/O设备的机械部件，因此I/O设备还要有一个电子部件作为CPU和I/ O设备机械部件之间的“中介”，用于实现CPU对设备的控制。</w:t>
      </w:r>
    </w:p>
    <w:p>
      <w:pPr>
        <w:numPr>
          <w:numId w:val="1006"/>
          <w:ilvl w:val="0"/>
        </w:numPr>
      </w:pPr>
      <w:r>
        <w:t xml:space="preserve">这个电子部件就是I / O控制器，又称设备控制器。CPU可控制I/ O控制器，又由I /O控制器来控制设备的机械部件。</w:t>
      </w:r>
    </w:p>
    <w:p>
      <w:pPr>
        <w:pStyle w:val="FigureWithCaption"/>
      </w:pPr>
      <w:r>
        <w:drawing>
          <wp:inline>
            <wp:extent cx="5334000" cy="22340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08350939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57" w:name="i-o-控制器的组成"/>
      <w:bookmarkEnd w:id="57"/>
      <w:r>
        <w:t xml:space="preserve">I /O 控制器的组成</w:t>
      </w:r>
    </w:p>
    <w:p>
      <w:pPr>
        <w:pStyle w:val="FigureWithCaption"/>
      </w:pPr>
      <w:r>
        <w:drawing>
          <wp:inline>
            <wp:extent cx="5334000" cy="28690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08530290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9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值得注意的小细节：</w:t>
      </w:r>
    </w:p>
    <w:p>
      <w:pPr>
        <w:numPr>
          <w:numId w:val="1007"/>
          <w:ilvl w:val="0"/>
        </w:numPr>
      </w:pPr>
      <w:r>
        <w:t xml:space="preserve">①一个I/ O控制器可能会对应多个设备</w:t>
      </w:r>
    </w:p>
    <w:p>
      <w:pPr>
        <w:numPr>
          <w:numId w:val="1007"/>
          <w:ilvl w:val="0"/>
        </w:numPr>
      </w:pPr>
      <w:r>
        <w:t xml:space="preserve">②数据寄存器、控制寄存器、状态寄存器可能有多个（如：每个控制/状态寄存器对应一个具体的设备），且这些寄存器都要有相应的地址，才能方便CPU操作。有的计算机会让这些寄存器占用内存地址的一部分，称为</w:t>
      </w:r>
      <w:r>
        <w:rPr>
          <w:rStyle w:val="VerbatimChar"/>
        </w:rPr>
        <w:t xml:space="preserve">内存映像I/ O</w:t>
      </w:r>
      <w:r>
        <w:t xml:space="preserve">；另一些计算机则采用I/ O专用地址，即</w:t>
      </w:r>
      <w:r>
        <w:rPr>
          <w:rStyle w:val="VerbatimChar"/>
        </w:rPr>
        <w:t xml:space="preserve">寄存器独立编址</w:t>
      </w:r>
      <w:r>
        <w:t xml:space="preserve">。</w:t>
      </w:r>
    </w:p>
    <w:p>
      <w:pPr>
        <w:pStyle w:val="Heading2"/>
      </w:pPr>
      <w:bookmarkStart w:id="61" w:name="内存映像io-vs-寄存器独立编址"/>
      <w:bookmarkEnd w:id="61"/>
      <w:r>
        <w:t xml:space="preserve">内存映像I/O v.s. 寄存器独立编址</w:t>
      </w:r>
    </w:p>
    <w:p>
      <w:pPr>
        <w:pStyle w:val="FigureWithCaption"/>
      </w:pPr>
      <w:r>
        <w:drawing>
          <wp:inline>
            <wp:extent cx="5334000" cy="26940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08551014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65" w:name="总结思维导图-2"/>
      <w:bookmarkEnd w:id="65"/>
      <w:r>
        <w:t xml:space="preserve">总结思维导图</w:t>
      </w:r>
    </w:p>
    <w:p>
      <w:pPr>
        <w:pStyle w:val="FigureWithCaption"/>
      </w:pPr>
      <w:r>
        <w:drawing>
          <wp:inline>
            <wp:extent cx="5334000" cy="2524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608584640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4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f0e6868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4cb435eb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hyperlink" Id="rId25" Target="https://blog.csdn.net/QuantumYou/article/details/117529158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5" Target="https://blog.csdn.net/QuantumYou/article/details/1175291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2021-07-18T05:20:30Z</dcterms:created>
  <dcterms:modified xsi:type="dcterms:W3CDTF">2021-07-18T05:20:30Z</dcterms:modified>
</cp:coreProperties>
</file>